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Noto Sans CJK SC" w:hAnsi="Noto Sans CJK SC" w:eastAsia="Noto Sans CJK SC"/>
          <w:b w:val="0"/>
        </w:rPr>
        <w:t>VECTORYN AI</w:t>
      </w:r>
    </w:p>
    <w:p>
      <w:pPr>
        <w:spacing w:after="60"/>
        <w:jc w:val="center"/>
      </w:pPr>
      <w:r>
        <w:rPr>
          <w:rFonts w:ascii="Noto Sans CJK SC" w:hAnsi="Noto Sans CJK SC" w:eastAsia="Noto Sans CJK SC"/>
          <w:b/>
          <w:color w:val="1264D2"/>
          <w:sz w:val="36"/>
        </w:rPr>
        <w:t>欧盟项目概念说明</w:t>
      </w:r>
    </w:p>
    <w:p>
      <w:pPr>
        <w:spacing w:after="240"/>
        <w:jc w:val="center"/>
      </w:pPr>
      <w:r>
        <w:rPr>
          <w:rFonts w:ascii="Noto Sans CJK SC" w:hAnsi="Noto Sans CJK SC" w:eastAsia="Noto Sans CJK SC"/>
          <w:b/>
          <w:color w:val="0A2B59"/>
          <w:sz w:val="26"/>
        </w:rPr>
        <w:t>面向欧洲工业的可治理自主 AI 智能体</w:t>
      </w:r>
    </w:p>
    <w:p>
      <w:pPr>
        <w:pStyle w:val="Heading2"/>
        <w:jc w:val="center"/>
      </w:pPr>
      <w:r>
        <w:rPr>
          <w:rFonts w:ascii="Noto Sans CJK SC" w:hAnsi="Noto Sans CJK SC" w:eastAsia="Noto Sans CJK SC"/>
          <w:b w:val="0"/>
        </w:rPr>
        <w:t>项目概览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7FD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0A2B59"/>
                <w:sz w:val="22"/>
              </w:rPr>
              <w:t>Vectoryn AI 是面向工业环境的企业级可治理自主 AI 智能体平台。它连接企业与运营知识、AI 模型、工具和业务系统，使智能体能够在保留人工监督、可审计性和策略执行的前提下，从信息检索安全地发展到受控行动。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领域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工业 AI 智能体 / 制造业数字化转型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当前成熟度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原型 / MVP 开发阶段；在正式试点验证前约为 TRL 4-5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目标成熟度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通过真实工业试点验证，目标达到 TRL 6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主要资金渠道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Horizon Europe、EIC、Digital Europe、EuroHPC / AI Factories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合作伙伴需求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工业试点伙伴、科研机构、AI 基础设施与系统集成伙伴</w:t>
            </w:r>
          </w:p>
        </w:tc>
      </w:tr>
    </w:tbl>
    <w:p>
      <w:pPr>
        <w:spacing w:after="60"/>
        <w:jc w:val="center"/>
      </w:pPr>
      <w:r>
        <w:rPr>
          <w:rFonts w:ascii="Noto Sans CJK SC" w:hAnsi="Noto Sans CJK SC" w:eastAsia="Noto Sans CJK SC"/>
          <w:b/>
          <w:color w:val="1264D2"/>
          <w:sz w:val="22"/>
        </w:rPr>
        <w:t>Agents · Knowledge · Impact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9788C"/>
          <w:sz w:val="18"/>
        </w:rPr>
        <w:t>用于欧盟资助申请、联盟组建与合作伙伴沟通  |  2026年10月</w:t>
      </w:r>
    </w:p>
    <w:p>
      <w:pPr>
        <w:pStyle w:val="Heading1"/>
        <w:pageBreakBefore/>
      </w:pPr>
      <w:r>
        <w:rPr>
          <w:rFonts w:ascii="Noto Sans CJK SC" w:hAnsi="Noto Sans CJK SC" w:eastAsia="Noto Sans CJK SC"/>
          <w:b w:val="0"/>
        </w:rPr>
        <w:t>1. 工业挑战</w:t>
      </w:r>
    </w:p>
    <w:p>
      <w:r>
        <w:rPr>
          <w:rFonts w:ascii="Noto Sans CJK SC" w:hAnsi="Noto Sans CJK SC" w:eastAsia="Noto Sans CJK SC"/>
          <w:b w:val="0"/>
        </w:rPr>
        <w:t>欧洲制造企业普遍运行在碎片化的信息和应用环境中。关键知识分散在 ERP、MES、CMMS/EAM、技术文档、质量系统、IoT 平台、数据库、电子表格和协作工具中。员工在做出运营决策前，往往需要手工搜索、关联并解释大量信息。</w:t>
      </w:r>
    </w:p>
    <w:p>
      <w:r>
        <w:rPr>
          <w:rFonts w:ascii="Noto Sans CJK SC" w:hAnsi="Noto Sans CJK SC" w:eastAsia="Noto Sans CJK SC"/>
          <w:b w:val="0"/>
        </w:rPr>
        <w:t>通用 AI 助手只能解决其中一部分问题。工业场景的 AI 落地还需要可信的企业上下文、稳健的系统集成、严格的身份与访问控制、可追溯性、网络安全、人工监督，以及对 AI 智能体每项行动的清晰治理。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FF6FF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rFonts w:ascii="Noto Sans CJK SC" w:hAnsi="Noto Sans CJK SC" w:eastAsia="Noto Sans CJK SC"/>
                <w:b/>
                <w:color w:val="0A2B59"/>
                <w:sz w:val="21"/>
              </w:rPr>
              <w:t>真正的工业问题不仅是“如何引入生成式 AI？”，而是“如何在真实工业流程和企业工作流中，安全地让 AI 智能体参与工作？”</w:t>
            </w:r>
          </w:p>
        </w:tc>
      </w:tr>
    </w:tbl>
    <w:p>
      <w:pPr>
        <w:pStyle w:val="Heading1"/>
      </w:pPr>
      <w:r>
        <w:rPr>
          <w:rFonts w:ascii="Noto Sans CJK SC" w:hAnsi="Noto Sans CJK SC" w:eastAsia="Noto Sans CJK SC"/>
          <w:b w:val="0"/>
        </w:rPr>
        <w:t>2. 建议解决方案</w:t>
      </w:r>
    </w:p>
    <w:p>
      <w:r>
        <w:rPr>
          <w:rFonts w:ascii="Noto Sans CJK SC" w:hAnsi="Noto Sans CJK SC" w:eastAsia="Noto Sans CJK SC"/>
          <w:b w:val="0"/>
        </w:rPr>
        <w:t>Vectoryn AI 提供模块化平台，用于部署专业化的企业与工业 AI 智能体。平台作为受治理的编排层，连接用户、AI 模型、企业知识和运营系统。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企业知识层 - 对技术文档、维护历史、流程、结构化数据和运营上下文进行受控访问。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AI 智能体层 - 面向维护、知识检索、生产支持、质量、报告和受控工作流的专业智能体。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集成与工具层 - 通过 MCP 和 API 访问 ERP、MES、CMMS、数据库及工业数据服务等企业工具和系统。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治理与控制层 - 身份、权限、策略执行、人工审批、日志、审计及行动可追溯性。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灵活模型层 - 在云端与本地模型之间进行路由，降低对单一模型供应商的依赖，并支持混合与本地部署。</w:t>
      </w:r>
    </w:p>
    <w:p>
      <w:pPr>
        <w:pStyle w:val="Heading1"/>
      </w:pPr>
      <w:r>
        <w:rPr>
          <w:rFonts w:ascii="Noto Sans CJK SC" w:hAnsi="Noto Sans CJK SC" w:eastAsia="Noto Sans CJK SC"/>
          <w:b w:val="0"/>
        </w:rPr>
        <w:t>3. 创新与差异化</w:t>
      </w:r>
    </w:p>
    <w:p>
      <w:r>
        <w:rPr>
          <w:rFonts w:ascii="Noto Sans CJK SC" w:hAnsi="Noto Sans CJK SC" w:eastAsia="Noto Sans CJK SC"/>
          <w:b w:val="0"/>
        </w:rPr>
        <w:t>Vectoryn AI 并非另一个通用聊天机器人。其差异化在于将工业专业化、企业互操作性、可治理自主能力以及欧洲对可信 AI 的要求整合在一个平台中。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工业 AI 智能体 - 针对制造工作流、设备资产、流程和企业运营进行专业化设计。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可治理自主 - 智能体根据风险和策略，从读取与分析逐步发展到提出建议、请求审批并执行操作。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可互操作的欧洲架构 - 支持异构 IT/OT 集成、人工监督、审计、灵活部署以及云端/本地模型路由。</w:t>
      </w:r>
    </w:p>
    <w:p>
      <w:pPr>
        <w:pStyle w:val="Heading1"/>
        <w:pageBreakBefore/>
      </w:pPr>
      <w:r>
        <w:rPr>
          <w:rFonts w:ascii="Noto Sans CJK SC" w:hAnsi="Noto Sans CJK SC" w:eastAsia="Noto Sans CJK SC"/>
          <w:b w:val="0"/>
        </w:rPr>
        <w:t>4. MVP 架构与当前研发方向</w:t>
      </w:r>
    </w:p>
    <w:p>
      <w:r>
        <w:rPr>
          <w:rFonts w:ascii="Noto Sans CJK SC" w:hAnsi="Noto Sans CJK SC" w:eastAsia="Noto Sans CJK SC"/>
          <w:b w:val="0"/>
        </w:rPr>
        <w:t>MVP 旨在通过一个聚焦的工业用例证明业务价值，同时验证未来企业级扩展所需的核心架构原则。当前方案结合智能体运行时、Vectoryn Core、MCP 桥接层、企业知识/RAG、维护能力、审计与人工审批，并通过决策网关实现基于策略的路由。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55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ctoryn_MVP_Architecture_Z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9788C"/>
          <w:sz w:val="17"/>
        </w:rPr>
        <w:t>图 1. Vectoryn MVP - 建议架构（可商业使用的基础版本）。</w:t>
      </w:r>
    </w:p>
    <w:p>
      <w:pPr>
        <w:pStyle w:val="Heading2"/>
      </w:pPr>
      <w:r>
        <w:rPr>
          <w:rFonts w:ascii="Noto Sans CJK SC" w:hAnsi="Noto Sans CJK SC" w:eastAsia="Noto Sans CJK SC"/>
          <w:b w:val="0"/>
        </w:rPr>
        <w:t>MVP 验证重点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在一个工业用例中证明可量化价值，优先考虑维护与工业知识支持。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验证智能体到工具的集成、受控检索和基于策略的决策路由。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验证关键操作中的审计能力与人工审批机制。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建立可重复部署模式，并能够迁移到试点客户环境。</w:t>
      </w:r>
    </w:p>
    <w:p>
      <w:pPr>
        <w:pStyle w:val="Heading1"/>
        <w:pageBreakBefore/>
      </w:pPr>
      <w:r>
        <w:rPr>
          <w:rFonts w:ascii="Noto Sans CJK SC" w:hAnsi="Noto Sans CJK SC" w:eastAsia="Noto Sans CJK SC"/>
          <w:b w:val="0"/>
        </w:rPr>
        <w:t>5. 目标全生产架构</w:t>
      </w:r>
    </w:p>
    <w:p>
      <w:r>
        <w:rPr>
          <w:rFonts w:ascii="Noto Sans CJK SC" w:hAnsi="Noto Sans CJK SC" w:eastAsia="Noto Sans CJK SC"/>
          <w:b w:val="0"/>
        </w:rPr>
        <w:t>目标架构将 MVP 扩展为面向制造企业的多智能体企业平台。架构将访问与治理、核心编排、专业智能体、运行时/模型路由、企业系统和数据服务进行分层。这种分离对于可扩展性、安全、合规和供应商独立性至关重要。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6982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ctoryn_Full_Production_Architecture_Z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9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9788C"/>
          <w:sz w:val="17"/>
        </w:rPr>
        <w:t>图 2. Vectoryn 全生产架构 - 面向制造业的企业级 AI 智能体平台。</w:t>
      </w:r>
    </w:p>
    <w:p>
      <w:pPr>
        <w:pStyle w:val="Heading2"/>
      </w:pPr>
      <w:r>
        <w:rPr>
          <w:rFonts w:ascii="Noto Sans CJK SC" w:hAnsi="Noto Sans CJK SC" w:eastAsia="Noto Sans CJK SC"/>
          <w:b w:val="0"/>
        </w:rPr>
        <w:t>生产架构设计原则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集中治理：API 网关、身份/SSO/RBAC、策略引擎、审计/合规和可观测性。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Vectoryn Core 作为智能体、工具、MCP、工作流、人工审批和 LLM 路由的编排层。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面向知识、维护、质量、生产、能源、管理和定制场景的专业智能体家族。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与 ERP/SAP、MES、CMMS、SCADA/PLC、Historian/IoT、DMS/SharePoint 和外部 API 集成。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灵活的运行时和模型层，支持云端与本地模型、路由与回退策略。</w:t>
      </w:r>
    </w:p>
    <w:p>
      <w:pPr>
        <w:pStyle w:val="Heading1"/>
        <w:pageBreakBefore/>
      </w:pPr>
      <w:r>
        <w:rPr>
          <w:rFonts w:ascii="Noto Sans CJK SC" w:hAnsi="Noto Sans CJK SC" w:eastAsia="Noto Sans CJK SC"/>
          <w:b w:val="0"/>
        </w:rPr>
        <w:t>6. 旗舰用例与工业试点</w:t>
      </w:r>
    </w:p>
    <w:p>
      <w:pPr>
        <w:pStyle w:val="Heading2"/>
      </w:pPr>
      <w:r>
        <w:rPr>
          <w:rFonts w:ascii="Noto Sans CJK SC" w:hAnsi="Noto Sans CJK SC" w:eastAsia="Noto Sans CJK SC"/>
          <w:b w:val="0"/>
        </w:rPr>
        <w:t>旗舰用例：工业维护与知识智能体</w:t>
      </w:r>
    </w:p>
    <w:p>
      <w:r>
        <w:rPr>
          <w:rFonts w:ascii="Noto Sans CJK SC" w:hAnsi="Noto Sans CJK SC" w:eastAsia="Noto Sans CJK SC"/>
          <w:b w:val="0"/>
        </w:rPr>
        <w:t>技术人员在工业设备上发现问题后，Vectoryn 智能体检索相关技术文档、维护历史、既往事件、内部流程及可用系统数据，并生成有证据支持的建议。依据风险和策略，系统可在启动后续维护工作流前要求人工审批。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试点环境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1-2 个制造基地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范围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一个设备家族或生产线；维护 / 知识工作流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用户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10-30 名技术员、工程师和管理人员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周期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每个试点 8-12 周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数据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技术文档、服务历史、资产数据、选定企业系统数据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验证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业务 KPI 前后对比 + 技术 + 治理 KPI</w:t>
            </w:r>
          </w:p>
        </w:tc>
      </w:tr>
    </w:tbl>
    <w:p>
      <w:pPr>
        <w:pStyle w:val="Heading2"/>
      </w:pPr>
      <w:r>
        <w:rPr>
          <w:rFonts w:ascii="Noto Sans CJK SC" w:hAnsi="Noto Sans CJK SC" w:eastAsia="Noto Sans CJK SC"/>
          <w:b w:val="0"/>
        </w:rPr>
        <w:t>建议成功指标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KPI 领域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成功标准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知识 / 检索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提供与证据关联的相关答案，并量化检索精度与完整性。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生产率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针对选定任务，信息搜索时间目标降低 50% 以上。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事件处理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针对选定维护事件，分析时间目标降低 30% 以上。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治理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智能体行动 100% 可追溯；高风险行动强制审批。</w:t>
            </w:r>
          </w:p>
        </w:tc>
      </w:tr>
      <w:tr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集成</w:t>
            </w:r>
          </w:p>
        </w:tc>
        <w:tc>
          <w:tcPr>
            <w:tcW w:type="dxa" w:w="5112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稳定执行获批的工具/API 工作流，并产生可审计结果。</w:t>
            </w:r>
          </w:p>
        </w:tc>
      </w:tr>
    </w:tbl>
    <w:p>
      <w:pPr>
        <w:pStyle w:val="Heading1"/>
      </w:pPr>
      <w:r>
        <w:rPr>
          <w:rFonts w:ascii="Noto Sans CJK SC" w:hAnsi="Noto Sans CJK SC" w:eastAsia="Noto Sans CJK SC"/>
          <w:b w:val="0"/>
        </w:rPr>
        <w:t>7. 欧洲战略相关性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加速可信 AI 在欧洲制造业和工程企业中的采用。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支持以人为中心、可控制的 AI 部署，而不是不透明的自主自动化。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通过模型与基础设施的灵活性，包括本地及欧洲算力选项，增强技术主权。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将治理、审计和人工监督嵌入技术架构，支持 EU AI Act 就绪。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通过降低信息摩擦并对工业知识工作进行受控自动化，提升企业竞争力。</w:t>
      </w:r>
    </w:p>
    <w:p>
      <w:pPr>
        <w:pStyle w:val="Heading1"/>
        <w:pageBreakBefore w:val="0"/>
      </w:pPr>
      <w:r>
        <w:rPr>
          <w:rFonts w:ascii="Noto Sans CJK SC" w:hAnsi="Noto Sans CJK SC" w:eastAsia="Noto Sans CJK SC"/>
          <w:b w:val="0"/>
        </w:rPr>
        <w:t>8. 研发计划与工作包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WP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工作包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主要范围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WP1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工业 AI 智能体平台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核心架构、编排、运行时接口与可靠性。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WP2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企业知识与集成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RAG、数据连接器、MCP/API 集成及工业数据访问。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WP3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可治理自主与安全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身份、策略执行、人工审批、审计、可追溯性和安全控制。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WP4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工业试点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在真实制造环境中部署并验证。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WP5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验证与商业化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技术评估、用户接受度、经济性、复制推广和市场准备。</w:t>
            </w:r>
          </w:p>
        </w:tc>
      </w:tr>
    </w:tbl>
    <w:p>
      <w:pPr>
        <w:pStyle w:val="Heading1"/>
      </w:pPr>
      <w:r>
        <w:rPr>
          <w:rFonts w:ascii="Noto Sans CJK SC" w:hAnsi="Noto Sans CJK SC" w:eastAsia="Noto Sans CJK SC"/>
          <w:b w:val="0"/>
        </w:rPr>
        <w:t>9. 联盟伙伴画像</w:t>
      </w:r>
    </w:p>
    <w:p>
      <w:r>
        <w:rPr>
          <w:rFonts w:ascii="Noto Sans CJK SC" w:hAnsi="Noto Sans CJK SC" w:eastAsia="Noto Sans CJK SC"/>
          <w:b w:val="0"/>
        </w:rPr>
        <w:t>Vectoryn AI 希望建立一个聚焦的欧洲联盟，将技术开发与真实工业验证结合。首选结构务实、以试点为导向。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工业试点伙伴：机械制造、铁路、汽车、工业设备或流程密集型行业的制造和工程企业。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科研伙伴：在 AI、自主智能体、人机协作、工业 AI、网络安全和 AI 治理方面具备专长的高校与科研机构。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技术伙伴：ERP/MES/CMMS 集成、工业数据平台、IoT、网络安全、机器人/自动化及 AI 基础设施。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生态伙伴：AI Factories、EDIH、国家联络点以及欧洲 AI / 制造创新网络。</w:t>
      </w:r>
    </w:p>
    <w:p>
      <w:pPr>
        <w:pStyle w:val="Heading2"/>
      </w:pPr>
      <w:r>
        <w:rPr>
          <w:rFonts w:ascii="Noto Sans CJK SC" w:hAnsi="Noto Sans CJK SC" w:eastAsia="Noto Sans CJK SC"/>
          <w:b w:val="0"/>
        </w:rPr>
        <w:t>Vectoryn AI 的角色</w:t>
      </w:r>
    </w:p>
    <w:p>
      <w:r>
        <w:rPr>
          <w:rFonts w:ascii="Noto Sans CJK SC" w:hAnsi="Noto Sans CJK SC" w:eastAsia="Noto Sans CJK SC"/>
          <w:b w:val="0"/>
        </w:rPr>
        <w:t>Vectoryn AI 定位为工业 AI 智能体层的技术提供方和平台所有者。在联盟中，可牵头智能体编排、企业集成、可治理自主和工业 AI 架构等技术工作包；在聚焦型试点中，也可承担更强的技术协调角色。</w:t>
      </w:r>
    </w:p>
    <w:p>
      <w:pPr>
        <w:pStyle w:val="Heading1"/>
        <w:pageBreakBefore w:val="0"/>
      </w:pPr>
      <w:r>
        <w:rPr>
          <w:rFonts w:ascii="Noto Sans CJK SC" w:hAnsi="Noto Sans CJK SC" w:eastAsia="Noto Sans CJK SC"/>
          <w:b w:val="0"/>
        </w:rPr>
        <w:t>10. 商业化与资金目标</w:t>
      </w:r>
    </w:p>
    <w:p>
      <w:r>
        <w:rPr>
          <w:rFonts w:ascii="Noto Sans CJK SC" w:hAnsi="Noto Sans CJK SC" w:eastAsia="Noto Sans CJK SC"/>
          <w:b w:val="0"/>
        </w:rPr>
        <w:t>欧盟资助将加速 Vectoryn AI 从 MVP 和试点验证走向可扩展的欧洲工业平台。资金主要用于平台研发、工业系统集成、AI 智能体可靠性、治理、网络安全、基础设施、试点部署、验证和商业化准备。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主要商业模式：企业订阅 / 许可，并配套部署与集成服务。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高级部署选项：私有云、混合云及特定本地部署。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目标客户：拥有复杂企业数据和运营工作流的欧洲制造与工程企业。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潜在资金渠道：Horizon Europe、EIC、Digital Europe 以及 EuroHPC / AI Factories。</w:t>
      </w:r>
    </w:p>
    <w:p>
      <w:pPr>
        <w:pStyle w:val="Heading1"/>
      </w:pPr>
      <w:r>
        <w:rPr>
          <w:rFonts w:ascii="Noto Sans CJK SC" w:hAnsi="Noto Sans CJK SC" w:eastAsia="Noto Sans CJK SC"/>
          <w:b w:val="0"/>
        </w:rPr>
        <w:t>11. 资金准备度与近期路线图</w:t>
      </w:r>
    </w:p>
    <w:p>
      <w:r>
        <w:rPr>
          <w:rFonts w:ascii="Noto Sans CJK SC" w:hAnsi="Noto Sans CJK SC" w:eastAsia="Noto Sans CJK SC"/>
          <w:b w:val="0"/>
        </w:rPr>
        <w:t>Vectoryn AI 与欧洲工业 AI 项目在技术和战略层面具有较高匹配度，但当前最有价值的下一步，是将技术进展转化为正式的工业验证证据。以下路线图旨在提升其对更大规模欧盟资助工具的准备度。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优先事项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  <w:shd w:fill="164F91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交付成果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现在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稳定 MVP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形成可重复部署；聚焦维护/知识用例；建立测试数据集和治理控制。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0-3 个月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试点准备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获得工业试点 / LOI，定义基线 KPI，完成安全与 IP 审查。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3-6 个月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工业验证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运行试点，测量前后效果，形成技术与治理证据。</w:t>
            </w:r>
          </w:p>
        </w:tc>
      </w:tr>
      <w:tr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6-12 个月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欧盟项目扩展</w:t>
            </w:r>
          </w:p>
        </w:tc>
        <w:tc>
          <w:tcPr>
            <w:tcW w:type="dxa" w:w="3408"/>
            <w:vAlign w:val="center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/>
            <w:r>
              <w:rPr>
                <w:rFonts w:ascii="Noto Sans CJK SC" w:hAnsi="Noto Sans CJK SC" w:eastAsia="Noto Sans CJK SC"/>
                <w:b w:val="0"/>
                <w:color w:val="2D3948"/>
                <w:sz w:val="18"/>
              </w:rPr>
              <w:t>使用试点证据推进 Horizon 联盟、EIC Pre-Accelerator / Accelerator 准备和商业扩张。</w:t>
            </w:r>
          </w:p>
        </w:tc>
      </w:tr>
    </w:tbl>
    <w:p>
      <w:pPr>
        <w:pStyle w:val="Heading1"/>
        <w:pageBreakBefore w:val="0"/>
      </w:pPr>
      <w:r>
        <w:rPr>
          <w:rFonts w:ascii="Noto Sans CJK SC" w:hAnsi="Noto Sans CJK SC" w:eastAsia="Noto Sans CJK SC"/>
          <w:b w:val="0"/>
        </w:rPr>
        <w:t>12. 合作建议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FF6FF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rFonts w:ascii="Noto Sans CJK SC" w:hAnsi="Noto Sans CJK SC" w:eastAsia="Noto Sans CJK SC"/>
                <w:b/>
                <w:color w:val="0A2B59"/>
                <w:sz w:val="21"/>
              </w:rPr>
              <w:t>Vectoryn AI 正在寻找工业试点企业、科研机构、AI 基础设施伙伴，以及正在组建欧洲 AI / 先进制造联盟的组织。近期目标是确定一个高价值试点用例，并选择最合适的欧盟资助路径。</w:t>
            </w:r>
          </w:p>
        </w:tc>
      </w:tr>
    </w:tbl>
    <w:p>
      <w:pPr>
        <w:pStyle w:val="Heading2"/>
      </w:pPr>
      <w:r>
        <w:rPr>
          <w:rFonts w:ascii="Noto Sans CJK SC" w:hAnsi="Noto Sans CJK SC" w:eastAsia="Noto Sans CJK SC"/>
          <w:b w:val="0"/>
        </w:rPr>
        <w:t>建议下一步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开展 30-45 分钟的技术与资金匹配讨论。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确定工业用例、合作伙伴角色和目标项目。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明确试点范围、目标 TRL、预期影响以及初步工作包结构。</w:t>
      </w:r>
    </w:p>
    <w:p>
      <w:pPr>
        <w:ind w:left="259" w:hanging="173"/>
      </w:pPr>
      <w:r>
        <w:rPr>
          <w:rFonts w:ascii="Noto Sans CJK SC" w:hAnsi="Noto Sans CJK SC" w:eastAsia="Noto Sans CJK SC"/>
          <w:sz w:val="20"/>
        </w:rPr>
        <w:t>•  准备定制化的一页合作伙伴简介和面向具体申报主题的项目概念。</w:t>
      </w:r>
    </w:p>
    <w:p>
      <w:pPr>
        <w:pStyle w:val="Heading2"/>
      </w:pPr>
      <w:r>
        <w:rPr>
          <w:rFonts w:ascii="Noto Sans CJK SC" w:hAnsi="Noto Sans CJK SC" w:eastAsia="Noto Sans CJK SC"/>
          <w:b w:val="0"/>
        </w:rPr>
        <w:t>Contact</w:t>
      </w:r>
    </w:p>
    <w:p>
      <w:r>
        <w:rPr>
          <w:rFonts w:ascii="Noto Sans CJK SC" w:hAnsi="Noto Sans CJK SC" w:eastAsia="Noto Sans CJK SC"/>
          <w:b/>
          <w:color w:val="0A2B59"/>
        </w:rPr>
        <w:t>Vectoryn AI  |  European industrial AI agents  |  www.vectorynai.com</w:t>
      </w:r>
    </w:p>
    <w:p>
      <w:pPr>
        <w:jc w:val="center"/>
      </w:pPr>
      <w:r>
        <w:rPr>
          <w:rFonts w:ascii="Noto Sans CJK SC" w:hAnsi="Noto Sans CJK SC" w:eastAsia="Noto Sans CJK SC"/>
          <w:b/>
          <w:color w:val="1264D2"/>
          <w:sz w:val="22"/>
        </w:rPr>
        <w:t>面向欧洲工业的可治理自主 AI 智能体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9788C"/>
          <w:sz w:val="18"/>
        </w:rPr>
        <w:t>工业 AI · AI 智能体 · 企业集成 · AI 治理 · 欧洲技术主权</w:t>
      </w:r>
    </w:p>
    <w:sectPr w:rsidR="00FC693F" w:rsidRPr="0006063C" w:rsidSect="00034616">
      <w:pgSz w:w="12240" w:h="15840"/>
      <w:pgMar w:top="1008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Noto Sans CJK SC" w:hAnsi="Noto Sans CJK SC" w:eastAsia="Noto Sans CJK SC"/>
      <w:b w:val="0"/>
      <w:color w:val="2D39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A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264D2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0A2B59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