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720" w:after="160"/>
      </w:pPr>
      <w:r>
        <w:rPr>
          <w:rFonts w:ascii="Aptos" w:hAnsi="Aptos"/>
          <w:b/>
          <w:color w:val="102A5E"/>
          <w:sz w:val="60"/>
        </w:rPr>
        <w:t>VECTORYN AI</w:t>
      </w:r>
    </w:p>
    <w:p>
      <w:pPr>
        <w:spacing w:after="120"/>
      </w:pPr>
      <w:r>
        <w:rPr>
          <w:rFonts w:ascii="Aptos" w:hAnsi="Aptos"/>
        </w:rPr>
        <w:t>KONCEPT PROJEKTU PRE FINANCOVANIE EÚ</w:t>
      </w:r>
    </w:p>
    <w:p>
      <w:pPr>
        <w:spacing w:after="360"/>
      </w:pPr>
      <w:r>
        <w:rPr>
          <w:rFonts w:ascii="Aptos" w:hAnsi="Aptos"/>
        </w:rPr>
        <w:t>Riadení autonómni AI agenti pre európsky priemysel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4FD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40"/>
            </w:pPr>
            <w:r>
              <w:t>Vízia projektu</w:t>
            </w:r>
          </w:p>
          <w:p>
            <w:pPr>
              <w:spacing w:after="0" w:line="259" w:lineRule="auto"/>
            </w:pPr>
            <w:r>
              <w:t>Vectoryn AI je enterprise platforma pre riadených autonómnych AI agentov v priemyselnom prostredí. Prepája podnikové a prevádzkové znalosti, AI modely, nástroje a podnikové systémy tak, aby sa agenti mohli bezpečne posunúť od vyhľadávania informácií ku kontrolovanej akcii pri zachovaní ľudského dohľadu, auditovateľnosti a presadzovania politík.</w:t>
            </w:r>
          </w:p>
        </w:tc>
      </w:tr>
    </w:tbl>
    <w:p>
      <w:pPr>
        <w:spacing w:after="20"/>
      </w:pPr>
    </w:p>
    <w:p>
      <w:pPr>
        <w:spacing w:before="240" w:after="100"/>
      </w:pPr>
      <w:r>
        <w:rPr>
          <w:rFonts w:ascii="Aptos" w:hAnsi="Aptos"/>
        </w:rPr>
        <w:t>STRUČNÝ PROFIL PROJEKTU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2880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  <w:shd w:fill="102A5E"/>
          </w:tcPr>
          <w:p>
            <w:r>
              <w:rPr>
                <w:rFonts w:ascii="Aptos" w:hAnsi="Aptos"/>
              </w:rPr>
              <w:t>Doména</w:t>
            </w:r>
          </w:p>
        </w:tc>
        <w:tc>
          <w:tcPr>
            <w:tcW w:type="dxa" w:w="7200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  <w:shd w:fill="F4F6F8"/>
          </w:tcPr>
          <w:p>
            <w:r>
              <w:rPr>
                <w:rFonts w:ascii="Aptos" w:hAnsi="Aptos"/>
              </w:rPr>
              <w:t>Priemyselní AI agenti / digitálna transformácia výroby</w:t>
            </w:r>
          </w:p>
        </w:tc>
      </w:tr>
      <w:tr>
        <w:tc>
          <w:tcPr>
            <w:tcW w:type="dxa" w:w="2880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  <w:shd w:fill="102A5E"/>
          </w:tcPr>
          <w:p>
            <w:r>
              <w:rPr>
                <w:rFonts w:ascii="Aptos" w:hAnsi="Aptos"/>
              </w:rPr>
              <w:t>Aktuálna zrelosť</w:t>
            </w:r>
          </w:p>
        </w:tc>
        <w:tc>
          <w:tcPr>
            <w:tcW w:type="dxa" w:w="7200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  <w:shd w:fill="FFFFFF"/>
          </w:tcPr>
          <w:p>
            <w:r>
              <w:rPr>
                <w:rFonts w:ascii="Aptos" w:hAnsi="Aptos"/>
              </w:rPr>
              <w:t>Vývoj prototypu/MVP; približne TRL 4-5 do formálnej pilotnej validácie</w:t>
            </w:r>
          </w:p>
        </w:tc>
      </w:tr>
      <w:tr>
        <w:tc>
          <w:tcPr>
            <w:tcW w:type="dxa" w:w="2880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  <w:shd w:fill="102A5E"/>
          </w:tcPr>
          <w:p>
            <w:r>
              <w:rPr>
                <w:rFonts w:ascii="Aptos" w:hAnsi="Aptos"/>
              </w:rPr>
              <w:t>Cieľová zrelosť</w:t>
            </w:r>
          </w:p>
        </w:tc>
        <w:tc>
          <w:tcPr>
            <w:tcW w:type="dxa" w:w="7200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  <w:shd w:fill="F4F6F8"/>
          </w:tcPr>
          <w:p>
            <w:r>
              <w:rPr>
                <w:rFonts w:ascii="Aptos" w:hAnsi="Aptos"/>
              </w:rPr>
              <w:t>Validovaná priemyselná platforma na TRL 6 prostredníctvom reálnych pilotov</w:t>
            </w:r>
          </w:p>
        </w:tc>
      </w:tr>
      <w:tr>
        <w:tc>
          <w:tcPr>
            <w:tcW w:type="dxa" w:w="2880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  <w:shd w:fill="102A5E"/>
          </w:tcPr>
          <w:p>
            <w:r>
              <w:rPr>
                <w:rFonts w:ascii="Aptos" w:hAnsi="Aptos"/>
              </w:rPr>
              <w:t>Primárne funding cesty</w:t>
            </w:r>
          </w:p>
        </w:tc>
        <w:tc>
          <w:tcPr>
            <w:tcW w:type="dxa" w:w="7200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  <w:shd w:fill="FFFFFF"/>
          </w:tcPr>
          <w:p>
            <w:r>
              <w:rPr>
                <w:rFonts w:ascii="Aptos" w:hAnsi="Aptos"/>
                <w:color w:val="172033"/>
                <w:sz w:val="19"/>
              </w:rPr>
              <w:t>Horizon Europe, EIC, Digital Europe, EuroHPC / AI Factories</w:t>
            </w:r>
          </w:p>
        </w:tc>
      </w:tr>
      <w:tr>
        <w:tc>
          <w:tcPr>
            <w:tcW w:type="dxa" w:w="2880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  <w:shd w:fill="102A5E"/>
          </w:tcPr>
          <w:p>
            <w:r>
              <w:rPr>
                <w:rFonts w:ascii="Aptos" w:hAnsi="Aptos"/>
              </w:rPr>
              <w:t>Potreba partnerov</w:t>
            </w:r>
          </w:p>
        </w:tc>
        <w:tc>
          <w:tcPr>
            <w:tcW w:type="dxa" w:w="7200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  <w:shd w:fill="F4F6F8"/>
          </w:tcPr>
          <w:p>
            <w:r>
              <w:rPr>
                <w:rFonts w:ascii="Aptos" w:hAnsi="Aptos"/>
              </w:rPr>
              <w:t>Priemyselní pilotní partneri, výskumné organizácie, AI infraštruktúrni a integrační partneri</w:t>
            </w:r>
          </w:p>
        </w:tc>
      </w:tr>
    </w:tbl>
    <w:p>
      <w:pPr>
        <w:spacing w:before="320"/>
        <w:jc w:val="left"/>
      </w:pPr>
      <w:r>
        <w:rPr>
          <w:rFonts w:ascii="Aptos" w:hAnsi="Aptos"/>
        </w:rPr>
        <w:t>Agenti · Znalosti · Dopad</w:t>
      </w:r>
    </w:p>
    <w:p>
      <w:pPr>
        <w:spacing w:before="800"/>
      </w:pPr>
      <w:r>
        <w:rPr>
          <w:rFonts w:ascii="Aptos" w:hAnsi="Aptos"/>
        </w:rPr>
        <w:t>Pripravené pre financovanie EÚ, tvorbu konzorcií a rokovania s partnermi  |  Október 2026</w:t>
      </w:r>
    </w:p>
    <w:p>
      <w:r>
        <w:rPr>
          <w:rFonts w:ascii="Aptos" w:hAnsi="Aptos"/>
        </w:rPr>
        <w:br w:type="page"/>
      </w:r>
    </w:p>
    <w:p>
      <w:pPr>
        <w:pStyle w:val="Heading1"/>
        <w:keepNext/>
        <w:spacing w:before="200" w:after="100"/>
      </w:pPr>
      <w:r>
        <w:rPr>
          <w:rFonts w:ascii="Aptos" w:hAnsi="Aptos"/>
        </w:rPr>
        <w:t>1. Priemyselná výzva</w:t>
      </w:r>
    </w:p>
    <w:p>
      <w:pPr>
        <w:spacing w:after="120" w:line="269" w:lineRule="auto"/>
      </w:pPr>
      <w:r>
        <w:t>Európske výrobné podniky fungujú vo fragmentovanom informačnom a aplikačnom prostredí. Kritické znalosti sú rozptýlené medzi ERP, MES, CMMS/EAM, technickou dokumentáciou, systémami kvality, IoT platformami, databázami, tabuľkami a kolaboračnými nástrojmi. Zamestnanci musia informácie často manuálne vyhľadávať, prepájať a interpretovať ešte pred prijatím prevádzkového rozhodnutia.</w:t>
      </w:r>
    </w:p>
    <w:p>
      <w:pPr>
        <w:spacing w:after="120" w:line="269" w:lineRule="auto"/>
      </w:pPr>
      <w:r>
        <w:t>Všeobecní AI asistenti riešia iba časť tohto problému. Priemyselné nasadenie vyžaduje dôveryhodný podnikový kontext, robustnú integráciu, silné riadenie identity a prístupu, sledovateľnosť, kybernetickú bezpečnosť, ľudský dohľad a jasnú governance každej akcie vykonanej AI agentom.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EF7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40"/>
            </w:pPr>
            <w:r>
              <w:t>Jadrový problém</w:t>
            </w:r>
          </w:p>
          <w:p>
            <w:pPr>
              <w:spacing w:after="0" w:line="259" w:lineRule="auto"/>
            </w:pPr>
            <w:r>
              <w:t>Skutočná priemyselná otázka nie je iba „Ako zaviesť generatívnu AI?“, ale „Ako bezpečne umožniť AI agentom participovať na reálnych priemyselných procesoch a podnikových workflow?“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200" w:after="100"/>
      </w:pPr>
      <w:r>
        <w:rPr>
          <w:rFonts w:ascii="Aptos" w:hAnsi="Aptos"/>
        </w:rPr>
        <w:t>2. Navrhované riešenie</w:t>
      </w:r>
    </w:p>
    <w:p>
      <w:pPr>
        <w:spacing w:after="120" w:line="269" w:lineRule="auto"/>
      </w:pPr>
      <w:r>
        <w:t>Vectoryn AI poskytuje modulárnu platformu na nasadzovanie špecializovaných podnikových a priemyselných AI agentov. Platforma je navrhnutá ako riadená orchestračná vrstva medzi používateľmi, AI modelmi, podnikovými znalosťami a prevádzkovými systémami.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Vrstva podnikových znalostí - riadený prístup k technickej dokumentácii, histórii údržby, postupom, štruktúrovaným dátam a prevádzkovému kontextu.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Vrstva AI agentov - špecializovaní agenti pre údržbu, vyhľadávanie znalostí, podporu výroby, kvalitu, reporting a riadené workflow.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Integračná a nástrojová vrstva - prístup cez MCP a API k podnikovým nástrojom a systémom, napríklad ERP, MES, CMMS, databázam a priemyselným dátovým službám.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Vrstva governance a riadenia - identita, oprávnenia, presadzovanie politík, ľudské schvaľovanie, logovanie, auditovateľnosť a sledovateľnosť akcií.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Flexibilná modelová vrstva - smerovanie medzi cloudovými a lokálnymi modelmi s cieľom znížiť závislosť od jediného poskytovateľa a podporiť hybridné/on-prem nasadenia.</w:t>
      </w:r>
    </w:p>
    <w:p>
      <w:pPr>
        <w:pStyle w:val="Heading1"/>
        <w:keepNext/>
        <w:spacing w:before="200" w:after="100"/>
      </w:pPr>
      <w:r>
        <w:rPr>
          <w:rFonts w:ascii="Aptos" w:hAnsi="Aptos"/>
        </w:rPr>
        <w:t>3. Inovácia a diferenciácia</w:t>
      </w:r>
    </w:p>
    <w:p>
      <w:pPr>
        <w:spacing w:after="120" w:line="269" w:lineRule="auto"/>
      </w:pPr>
      <w:r>
        <w:t>Vectoryn AI nie je pozicionovaný ako ďalší všeobecný chatbot. Jeho diferenciácia spočíva v kombinácii priemyselnej špecializácie, podnikovej interoperability, riadenej autonómie a európskych požiadaviek na dôveryhodnosť v jednej platforme.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Priemyselní AI agenti - špecializovaní na výrobné workflow, aktíva, postupy a podnikové operácie.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Riadená autonómia - agenti postupujú od čítania a analýzy cez odporúčanie a vyžiadanie schválenia až po vykonanie podľa rizika a politík.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Interoperabilná európska architektúra - heterogénna IT/OT integrácia, ľudský dohľad, auditovateľnosť, flexibilita nasadenia a smerovanie medzi cloudovými a lokálnymi modelmi.</w:t>
      </w:r>
    </w:p>
    <w:p>
      <w:r>
        <w:rPr>
          <w:rFonts w:ascii="Aptos" w:hAnsi="Aptos"/>
        </w:rPr>
        <w:br w:type="page"/>
      </w:r>
    </w:p>
    <w:p>
      <w:pPr>
        <w:pStyle w:val="Heading1"/>
        <w:keepNext/>
        <w:spacing w:before="200" w:after="100"/>
      </w:pPr>
      <w:r>
        <w:rPr>
          <w:rFonts w:ascii="Aptos" w:hAnsi="Aptos"/>
        </w:rPr>
        <w:t>4. MVP architektúra a aktuálny smer vývoja</w:t>
      </w:r>
    </w:p>
    <w:p>
      <w:pPr>
        <w:spacing w:after="120" w:line="269" w:lineRule="auto"/>
      </w:pPr>
      <w:r>
        <w:t>MVP je navrhnuté tak, aby preukázalo obchodnú hodnotu na jednom jasne zameranom priemyselnom use case a súčasne overilo základné architektonické princípy potrebné pre neskoršie enterprise nasadenie. Kombinuje aktuálny agent runtime, Vectoryn Core, MCP bridge, enterprise knowledge/RAG, funkcionalitu údržby, audit a ľudské schvaľovanie s decision gateway pre policy-aware routing.</w:t>
      </w:r>
    </w:p>
    <w:p>
      <w:pPr>
        <w:jc w:val="center"/>
      </w:pPr>
      <w:r>
        <w:rPr>
          <w:rFonts w:ascii="Aptos" w:hAnsi="Aptos"/>
        </w:rPr>
        <w:drawing>
          <wp:inline xmlns:a="http://schemas.openxmlformats.org/drawingml/2006/main" xmlns:pic="http://schemas.openxmlformats.org/drawingml/2006/picture">
            <wp:extent cx="6400800" cy="36004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B6C5391-C4FA-4ED1-BCCD-63A02CFCF482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00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20"/>
        <w:jc w:val="center"/>
      </w:pPr>
      <w:r>
        <w:rPr>
          <w:rFonts w:ascii="Aptos" w:hAnsi="Aptos"/>
        </w:rPr>
        <w:t>Obrázok 1. Vectoryn MVP - navrhovaná architektúra (komerčne použiteľný základ).</w:t>
      </w:r>
    </w:p>
    <w:p>
      <w:pPr>
        <w:pStyle w:val="Heading2"/>
        <w:keepNext/>
        <w:spacing w:before="120" w:after="100"/>
      </w:pPr>
      <w:r>
        <w:rPr>
          <w:rFonts w:ascii="Aptos" w:hAnsi="Aptos"/>
        </w:rPr>
        <w:t>Zameranie validácie MVP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Preukázať merateľnú hodnotu v jednom priemyselnom use case, prednostne v údržbe a podpore priemyselných znalostí.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Overiť integráciu agentov s nástrojmi, riadené vyhľadávanie a rozhodovacie smerovanie zohľadňujúce politiky.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Overiť auditovateľnosť a ľudské schvaľovanie pri kritických akciách.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Vytvoriť opakovateľný model nasadenia prenositeľný do prostredia pilotného zákazníka.</w:t>
      </w:r>
    </w:p>
    <w:p>
      <w:r>
        <w:rPr>
          <w:rFonts w:ascii="Aptos" w:hAnsi="Aptos"/>
        </w:rPr>
        <w:br w:type="page"/>
      </w:r>
    </w:p>
    <w:p>
      <w:pPr>
        <w:pStyle w:val="Heading1"/>
        <w:keepNext/>
        <w:spacing w:before="200" w:after="100"/>
      </w:pPr>
      <w:r>
        <w:rPr>
          <w:rFonts w:ascii="Aptos" w:hAnsi="Aptos"/>
        </w:rPr>
        <w:t>5. Cieľová produkčná architektúra</w:t>
      </w:r>
    </w:p>
    <w:p>
      <w:pPr>
        <w:spacing w:after="120" w:line="269" w:lineRule="auto"/>
      </w:pPr>
      <w:r>
        <w:t>Cieľová architektúra rozširuje MVP na multiagentovú podnikovú platformu pre výrobnú spoločnosť. Oddeľuje prístup a governance, centrálnu orchestráciu, špecializovaných agentov, runtime/model routing, podnikové systémy a dátové služby. Toto oddelenie je kľúčové pre škálovateľnosť, bezpečnosť, compliance a nezávislosť od dodávateľa.</w:t>
      </w:r>
    </w:p>
    <w:p>
      <w:pPr>
        <w:jc w:val="center"/>
      </w:pPr>
      <w:r>
        <w:rPr>
          <w:rFonts w:ascii="Aptos" w:hAnsi="Aptos"/>
        </w:rPr>
        <w:drawing>
          <wp:inline xmlns:a="http://schemas.openxmlformats.org/drawingml/2006/main" xmlns:pic="http://schemas.openxmlformats.org/drawingml/2006/picture">
            <wp:extent cx="6400800" cy="36004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DAABF98-2918-4447-A0A6-18F192CF0B75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00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20"/>
        <w:jc w:val="center"/>
      </w:pPr>
      <w:r>
        <w:rPr>
          <w:rFonts w:ascii="Aptos" w:hAnsi="Aptos"/>
        </w:rPr>
        <w:t>Obrázok 2. Vectoryn full-production architektúra - podniková platforma AI agentov pre výrobu.</w:t>
      </w:r>
    </w:p>
    <w:p>
      <w:pPr>
        <w:pStyle w:val="Heading2"/>
        <w:keepNext/>
        <w:spacing w:before="120" w:after="100"/>
      </w:pPr>
      <w:r>
        <w:rPr>
          <w:rFonts w:ascii="Aptos" w:hAnsi="Aptos"/>
        </w:rPr>
        <w:t>Princípy produkčného návrhu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Centrálna governance: API gateway, identity/SSO/RBAC, policy engine, audit/compliance a observability.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Vectoryn Core ako orchestračná vrstva pre agentov, nástroje, MCP, workflow, ľudské schvaľovanie a LLM routing.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Rodina špecializovaných agentov pre znalosti, údržbu, kvalitu, výrobu, energetiku, manažment a vlastné use cases.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Integrácia s ERP/SAP, MES, CMMS, SCADA/PLC, Historian/IoT, DMS/SharePoint a externými API.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Flexibilná runtime a modelová vrstva s cloudovými a lokálnymi modelmi vrátane routing a fallback stratégií.</w:t>
      </w:r>
    </w:p>
    <w:p>
      <w:r>
        <w:rPr>
          <w:rFonts w:ascii="Aptos" w:hAnsi="Aptos"/>
        </w:rPr>
        <w:br w:type="page"/>
      </w:r>
    </w:p>
    <w:p>
      <w:pPr>
        <w:pStyle w:val="Heading1"/>
        <w:keepNext/>
        <w:spacing w:before="200" w:after="100"/>
      </w:pPr>
      <w:r>
        <w:rPr>
          <w:rFonts w:ascii="Aptos" w:hAnsi="Aptos"/>
        </w:rPr>
        <w:t>6. Flagship use case a priemyselné piloty</w:t>
      </w:r>
    </w:p>
    <w:p>
      <w:pPr>
        <w:pStyle w:val="Heading2"/>
        <w:keepNext/>
        <w:spacing w:before="120" w:after="100"/>
      </w:pPr>
      <w:r>
        <w:rPr>
          <w:rFonts w:ascii="Aptos" w:hAnsi="Aptos"/>
        </w:rPr>
        <w:t>Flagship use case: Industrial Maintenance &amp; Knowledge Agent</w:t>
      </w:r>
    </w:p>
    <w:p>
      <w:pPr>
        <w:spacing w:after="120" w:line="269" w:lineRule="auto"/>
      </w:pPr>
      <w:r>
        <w:t>Technik identifikuje problém na priemyselnom zariadení. Agent Vectoryn vyhľadá relevantnú technickú dokumentáciu, históriu údržby, predchádzajúce incidenty, interné postupy a dostupné systémové dáta a následne vytvorí odporúčanie podložené dôkazmi. Podľa rizika a politík môže systém pred spustením nadväzujúceho workflow údržby vyžiadať ľudské schválenie.</w:t>
      </w:r>
    </w:p>
    <w:p>
      <w:pPr>
        <w:pStyle w:val="Heading2"/>
        <w:keepNext/>
        <w:spacing w:before="120" w:after="100"/>
      </w:pPr>
      <w:r>
        <w:rPr>
          <w:rFonts w:ascii="Aptos" w:hAnsi="Aptos"/>
        </w:rPr>
        <w:t>Indikatívny návrh pilotu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102A5E"/>
            <w:tcMar>
              <w:top w:w="125" w:type="dxa"/>
              <w:start w:w="125" w:type="dxa"/>
              <w:bottom w:w="140" w:type="dxa"/>
              <w:end w:w="140" w:type="dxa"/>
            </w:tcMar>
          </w:tcPr>
          <w:p>
            <w:r>
              <w:rPr>
                <w:rFonts w:ascii="Aptos" w:hAnsi="Aptos"/>
              </w:rPr>
              <w:t>Pilotné prostredie</w:t>
            </w:r>
          </w:p>
        </w:tc>
        <w:tc>
          <w:tcPr>
            <w:tcW w:type="dxa" w:w="5083"/>
            <w:shd w:fill="F4F6F8"/>
            <w:tcMar>
              <w:top w:w="125" w:type="dxa"/>
              <w:start w:w="125" w:type="dxa"/>
              <w:bottom w:w="140" w:type="dxa"/>
              <w:end w:w="140" w:type="dxa"/>
            </w:tcMar>
          </w:tcPr>
          <w:p>
            <w:r>
              <w:rPr>
                <w:rFonts w:ascii="Aptos" w:hAnsi="Aptos"/>
              </w:rPr>
              <w:t>1-2 výrobné lokality</w:t>
            </w:r>
          </w:p>
        </w:tc>
      </w:tr>
      <w:tr>
        <w:tc>
          <w:tcPr>
            <w:tcW w:type="dxa" w:w="5083"/>
            <w:shd w:fill="EAF4FD"/>
            <w:tcMar>
              <w:top w:w="125" w:type="dxa"/>
              <w:start w:w="125" w:type="dxa"/>
              <w:bottom w:w="140" w:type="dxa"/>
              <w:end w:w="140" w:type="dxa"/>
            </w:tcMar>
          </w:tcPr>
          <w:p>
            <w:r>
              <w:rPr>
                <w:rFonts w:ascii="Aptos" w:hAnsi="Aptos"/>
              </w:rPr>
              <w:t>Rozsah</w:t>
            </w:r>
          </w:p>
        </w:tc>
        <w:tc>
          <w:tcPr>
            <w:tcW w:type="dxa" w:w="5083"/>
            <w:shd w:fill="FFFFFF"/>
            <w:tcMar>
              <w:top w:w="125" w:type="dxa"/>
              <w:start w:w="125" w:type="dxa"/>
              <w:bottom w:w="140" w:type="dxa"/>
              <w:end w:w="140" w:type="dxa"/>
            </w:tcMar>
          </w:tcPr>
          <w:p>
            <w:r>
              <w:rPr>
                <w:rFonts w:ascii="Aptos" w:hAnsi="Aptos"/>
              </w:rPr>
              <w:t>Jedna rodina aktív alebo výrobná linka; workflow údržby/znalostí</w:t>
            </w:r>
          </w:p>
        </w:tc>
      </w:tr>
      <w:tr>
        <w:tc>
          <w:tcPr>
            <w:tcW w:type="dxa" w:w="5083"/>
            <w:shd w:fill="EAF4FD"/>
            <w:tcMar>
              <w:top w:w="125" w:type="dxa"/>
              <w:start w:w="125" w:type="dxa"/>
              <w:bottom w:w="140" w:type="dxa"/>
              <w:end w:w="140" w:type="dxa"/>
            </w:tcMar>
          </w:tcPr>
          <w:p>
            <w:r>
              <w:rPr>
                <w:rFonts w:ascii="Aptos" w:hAnsi="Aptos"/>
              </w:rPr>
              <w:t>Používatelia</w:t>
            </w:r>
          </w:p>
        </w:tc>
        <w:tc>
          <w:tcPr>
            <w:tcW w:type="dxa" w:w="5083"/>
            <w:shd w:fill="F4F6F8"/>
            <w:tcMar>
              <w:top w:w="125" w:type="dxa"/>
              <w:start w:w="125" w:type="dxa"/>
              <w:bottom w:w="140" w:type="dxa"/>
              <w:end w:w="140" w:type="dxa"/>
            </w:tcMar>
          </w:tcPr>
          <w:p>
            <w:r>
              <w:rPr>
                <w:rFonts w:ascii="Aptos" w:hAnsi="Aptos"/>
              </w:rPr>
              <w:t>10-30 technikov, inžinierov a manažérov</w:t>
            </w:r>
          </w:p>
        </w:tc>
      </w:tr>
      <w:tr>
        <w:tc>
          <w:tcPr>
            <w:tcW w:type="dxa" w:w="5083"/>
            <w:shd w:fill="EAF4FD"/>
            <w:tcMar>
              <w:top w:w="125" w:type="dxa"/>
              <w:start w:w="125" w:type="dxa"/>
              <w:bottom w:w="140" w:type="dxa"/>
              <w:end w:w="140" w:type="dxa"/>
            </w:tcMar>
          </w:tcPr>
          <w:p>
            <w:r>
              <w:rPr>
                <w:rFonts w:ascii="Aptos" w:hAnsi="Aptos"/>
              </w:rPr>
              <w:t>Trvanie</w:t>
            </w:r>
          </w:p>
        </w:tc>
        <w:tc>
          <w:tcPr>
            <w:tcW w:type="dxa" w:w="5083"/>
            <w:shd w:fill="FFFFFF"/>
            <w:tcMar>
              <w:top w:w="125" w:type="dxa"/>
              <w:start w:w="125" w:type="dxa"/>
              <w:bottom w:w="140" w:type="dxa"/>
              <w:end w:w="140" w:type="dxa"/>
            </w:tcMar>
          </w:tcPr>
          <w:p>
            <w:r>
              <w:rPr>
                <w:rFonts w:ascii="Aptos" w:hAnsi="Aptos"/>
              </w:rPr>
              <w:t>8-12 týždňov na pilot</w:t>
            </w:r>
          </w:p>
        </w:tc>
      </w:tr>
      <w:tr>
        <w:tc>
          <w:tcPr>
            <w:tcW w:type="dxa" w:w="5083"/>
            <w:shd w:fill="EAF4FD"/>
            <w:tcMar>
              <w:top w:w="125" w:type="dxa"/>
              <w:start w:w="125" w:type="dxa"/>
              <w:bottom w:w="140" w:type="dxa"/>
              <w:end w:w="140" w:type="dxa"/>
            </w:tcMar>
          </w:tcPr>
          <w:p>
            <w:r>
              <w:rPr>
                <w:rFonts w:ascii="Aptos" w:hAnsi="Aptos"/>
              </w:rPr>
              <w:t>Dáta</w:t>
            </w:r>
          </w:p>
        </w:tc>
        <w:tc>
          <w:tcPr>
            <w:tcW w:type="dxa" w:w="5083"/>
            <w:shd w:fill="F4F6F8"/>
            <w:tcMar>
              <w:top w:w="125" w:type="dxa"/>
              <w:start w:w="125" w:type="dxa"/>
              <w:bottom w:w="140" w:type="dxa"/>
              <w:end w:w="140" w:type="dxa"/>
            </w:tcMar>
          </w:tcPr>
          <w:p>
            <w:r>
              <w:rPr>
                <w:rFonts w:ascii="Aptos" w:hAnsi="Aptos"/>
              </w:rPr>
              <w:t>Technická dokumentácia, servisná história, dáta aktív, vybrané podnikové dáta</w:t>
            </w:r>
          </w:p>
        </w:tc>
      </w:tr>
      <w:tr>
        <w:tc>
          <w:tcPr>
            <w:tcW w:type="dxa" w:w="5083"/>
            <w:shd w:fill="EAF4FD"/>
            <w:tcMar>
              <w:top w:w="125" w:type="dxa"/>
              <w:start w:w="125" w:type="dxa"/>
              <w:bottom w:w="140" w:type="dxa"/>
              <w:end w:w="140" w:type="dxa"/>
            </w:tcMar>
          </w:tcPr>
          <w:p>
            <w:r>
              <w:rPr>
                <w:rFonts w:ascii="Aptos" w:hAnsi="Aptos"/>
              </w:rPr>
              <w:t>Validácia</w:t>
            </w:r>
          </w:p>
        </w:tc>
        <w:tc>
          <w:tcPr>
            <w:tcW w:type="dxa" w:w="5083"/>
            <w:shd w:fill="FFFFFF"/>
            <w:tcMar>
              <w:top w:w="125" w:type="dxa"/>
              <w:start w:w="125" w:type="dxa"/>
              <w:bottom w:w="140" w:type="dxa"/>
              <w:end w:w="140" w:type="dxa"/>
            </w:tcMar>
          </w:tcPr>
          <w:p>
            <w:r>
              <w:rPr>
                <w:rFonts w:ascii="Aptos" w:hAnsi="Aptos"/>
              </w:rPr>
              <w:t>Business KPI pred/po + technické + governance KPI</w:t>
            </w:r>
          </w:p>
        </w:tc>
      </w:tr>
    </w:tbl>
    <w:p>
      <w:pPr>
        <w:pStyle w:val="Heading2"/>
        <w:keepNext/>
        <w:spacing w:before="120" w:after="100"/>
      </w:pPr>
      <w:r>
        <w:rPr>
          <w:rFonts w:ascii="Aptos" w:hAnsi="Aptos"/>
        </w:rPr>
        <w:t>Indikatívne metriky úspechu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5083"/>
            <w:shd w:fill="102A5E"/>
            <w:tcMar>
              <w:top w:w="110" w:type="dxa"/>
              <w:start w:w="110" w:type="dxa"/>
              <w:bottom w:w="130" w:type="dxa"/>
              <w:end w:w="130" w:type="dxa"/>
            </w:tcMar>
          </w:tcPr>
          <w:p>
            <w:r>
              <w:rPr>
                <w:rFonts w:ascii="Aptos" w:hAnsi="Aptos"/>
              </w:rPr>
              <w:t>KPI oblasť</w:t>
            </w:r>
          </w:p>
        </w:tc>
        <w:tc>
          <w:tcPr>
            <w:tcW w:type="dxa" w:w="5083"/>
            <w:shd w:fill="102A5E"/>
            <w:tcMar>
              <w:top w:w="110" w:type="dxa"/>
              <w:start w:w="110" w:type="dxa"/>
              <w:bottom w:w="130" w:type="dxa"/>
              <w:end w:w="130" w:type="dxa"/>
            </w:tcMar>
          </w:tcPr>
          <w:p>
            <w:r>
              <w:rPr>
                <w:rFonts w:ascii="Aptos" w:hAnsi="Aptos"/>
              </w:rPr>
              <w:t>Kritérium úspechu</w:t>
            </w:r>
          </w:p>
        </w:tc>
      </w:tr>
      <w:tr>
        <w:tc>
          <w:tcPr>
            <w:tcW w:type="dxa" w:w="5083"/>
            <w:tcMar>
              <w:top w:w="110" w:type="dxa"/>
              <w:start w:w="110" w:type="dxa"/>
              <w:bottom w:w="130" w:type="dxa"/>
              <w:end w:w="130" w:type="dxa"/>
            </w:tcMar>
            <w:shd w:fill="EAF4FD"/>
          </w:tcPr>
          <w:p>
            <w:r>
              <w:rPr>
                <w:rFonts w:ascii="Aptos" w:hAnsi="Aptos"/>
              </w:rPr>
              <w:t>Znalosti / retrieval</w:t>
            </w:r>
          </w:p>
        </w:tc>
        <w:tc>
          <w:tcPr>
            <w:tcW w:type="dxa" w:w="5083"/>
            <w:tcMar>
              <w:top w:w="110" w:type="dxa"/>
              <w:start w:w="110" w:type="dxa"/>
              <w:bottom w:w="130" w:type="dxa"/>
              <w:end w:w="130" w:type="dxa"/>
            </w:tcMar>
          </w:tcPr>
          <w:p>
            <w:r>
              <w:rPr>
                <w:rFonts w:ascii="Aptos" w:hAnsi="Aptos"/>
              </w:rPr>
              <w:t>Relevantné odpovede podložené dôkazmi; merateľná presnosť a úplnosť retrievalu.</w:t>
            </w:r>
          </w:p>
        </w:tc>
      </w:tr>
      <w:tr>
        <w:tc>
          <w:tcPr>
            <w:tcW w:type="dxa" w:w="5083"/>
            <w:tcMar>
              <w:top w:w="110" w:type="dxa"/>
              <w:start w:w="110" w:type="dxa"/>
              <w:bottom w:w="130" w:type="dxa"/>
              <w:end w:w="130" w:type="dxa"/>
            </w:tcMar>
            <w:shd w:fill="EAF4FD"/>
          </w:tcPr>
          <w:p>
            <w:r>
              <w:rPr>
                <w:rFonts w:ascii="Aptos" w:hAnsi="Aptos"/>
              </w:rPr>
              <w:t>Produktivita</w:t>
            </w:r>
          </w:p>
        </w:tc>
        <w:tc>
          <w:tcPr>
            <w:tcW w:type="dxa" w:w="5083"/>
            <w:tcMar>
              <w:top w:w="110" w:type="dxa"/>
              <w:start w:w="110" w:type="dxa"/>
              <w:bottom w:w="130" w:type="dxa"/>
              <w:end w:w="130" w:type="dxa"/>
            </w:tcMar>
          </w:tcPr>
          <w:p>
            <w:r>
              <w:rPr>
                <w:rFonts w:ascii="Aptos" w:hAnsi="Aptos"/>
              </w:rPr>
              <w:t>Cieľ: znížiť čas vyhľadávania informácií pri vybraných úlohách o 50 %+</w:t>
            </w:r>
          </w:p>
        </w:tc>
      </w:tr>
      <w:tr>
        <w:tc>
          <w:tcPr>
            <w:tcW w:type="dxa" w:w="5083"/>
            <w:tcMar>
              <w:top w:w="110" w:type="dxa"/>
              <w:start w:w="110" w:type="dxa"/>
              <w:bottom w:w="130" w:type="dxa"/>
              <w:end w:w="130" w:type="dxa"/>
            </w:tcMar>
            <w:shd w:fill="EAF4FD"/>
          </w:tcPr>
          <w:p>
            <w:r>
              <w:rPr>
                <w:rFonts w:ascii="Aptos" w:hAnsi="Aptos"/>
              </w:rPr>
              <w:t>Riešenie incidentov</w:t>
            </w:r>
          </w:p>
        </w:tc>
        <w:tc>
          <w:tcPr>
            <w:tcW w:type="dxa" w:w="5083"/>
            <w:tcMar>
              <w:top w:w="110" w:type="dxa"/>
              <w:start w:w="110" w:type="dxa"/>
              <w:bottom w:w="130" w:type="dxa"/>
              <w:end w:w="130" w:type="dxa"/>
            </w:tcMar>
          </w:tcPr>
          <w:p>
            <w:r>
              <w:rPr>
                <w:rFonts w:ascii="Aptos" w:hAnsi="Aptos"/>
              </w:rPr>
              <w:t>Cieľ: znížiť čas analýzy vybraných incidentov údržby o 30 %+</w:t>
            </w:r>
          </w:p>
        </w:tc>
      </w:tr>
      <w:tr>
        <w:tc>
          <w:tcPr>
            <w:tcW w:type="dxa" w:w="5083"/>
            <w:tcMar>
              <w:top w:w="110" w:type="dxa"/>
              <w:start w:w="110" w:type="dxa"/>
              <w:bottom w:w="130" w:type="dxa"/>
              <w:end w:w="130" w:type="dxa"/>
            </w:tcMar>
            <w:shd w:fill="EAF4FD"/>
          </w:tcPr>
          <w:p>
            <w:r>
              <w:rPr>
                <w:rFonts w:ascii="Aptos" w:hAnsi="Aptos"/>
              </w:rPr>
              <w:t>Governance</w:t>
            </w:r>
          </w:p>
        </w:tc>
        <w:tc>
          <w:tcPr>
            <w:tcW w:type="dxa" w:w="5083"/>
            <w:tcMar>
              <w:top w:w="110" w:type="dxa"/>
              <w:start w:w="110" w:type="dxa"/>
              <w:bottom w:w="130" w:type="dxa"/>
              <w:end w:w="130" w:type="dxa"/>
            </w:tcMar>
          </w:tcPr>
          <w:p>
            <w:r>
              <w:rPr>
                <w:rFonts w:ascii="Aptos" w:hAnsi="Aptos"/>
              </w:rPr>
              <w:t>100 % sledovateľnosť akcií agentov; povinné schválenie pri vysoko rizikových akciách.</w:t>
            </w:r>
          </w:p>
        </w:tc>
      </w:tr>
      <w:tr>
        <w:tc>
          <w:tcPr>
            <w:tcW w:type="dxa" w:w="5083"/>
            <w:tcMar>
              <w:top w:w="110" w:type="dxa"/>
              <w:start w:w="110" w:type="dxa"/>
              <w:bottom w:w="130" w:type="dxa"/>
              <w:end w:w="130" w:type="dxa"/>
            </w:tcMar>
            <w:shd w:fill="EAF4FD"/>
          </w:tcPr>
          <w:p>
            <w:r>
              <w:rPr>
                <w:rFonts w:ascii="Aptos" w:hAnsi="Aptos"/>
              </w:rPr>
              <w:t>Integrácia</w:t>
            </w:r>
          </w:p>
        </w:tc>
        <w:tc>
          <w:tcPr>
            <w:tcW w:type="dxa" w:w="5083"/>
            <w:tcMar>
              <w:top w:w="110" w:type="dxa"/>
              <w:start w:w="110" w:type="dxa"/>
              <w:bottom w:w="130" w:type="dxa"/>
              <w:end w:w="130" w:type="dxa"/>
            </w:tcMar>
          </w:tcPr>
          <w:p>
            <w:r>
              <w:rPr>
                <w:rFonts w:ascii="Aptos" w:hAnsi="Aptos"/>
              </w:rPr>
              <w:t>Stabilné vykonávanie schválených tool/API workflow s auditovateľnými výsledkami.</w:t>
            </w:r>
          </w:p>
        </w:tc>
      </w:tr>
    </w:tbl>
    <w:p>
      <w:pPr>
        <w:pStyle w:val="Heading1"/>
        <w:keepNext/>
        <w:spacing w:before="200" w:after="100"/>
      </w:pPr>
      <w:r>
        <w:rPr>
          <w:rFonts w:ascii="Aptos" w:hAnsi="Aptos"/>
        </w:rPr>
        <w:t>7. Európska strategická relevancia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Urýchľuje prijatie dôveryhodnej AI v európskych výrobných a strojárskych podnikoch.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Podporuje human-centric a riadené nasadenie AI namiesto netransparentnej autonómnej automatizácie.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Posilňuje technologickú suverenitu flexibilitou modelov a infraštruktúry vrátane lokálnych a európskych výpočtových možností.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Zabudováva governance, auditovateľnosť a ľudský dohľad priamo do technickej architektúry a podporuje pripravenosť na EU AI Act.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Zvyšuje konkurencieschopnosť znížením informačného trenia a umožnením riadenej automatizácie priemyselnej znalostnej práce.</w:t>
      </w:r>
    </w:p>
    <w:p>
      <w:pPr>
        <w:pStyle w:val="Heading1"/>
        <w:keepNext/>
        <w:spacing w:before="200" w:after="100"/>
      </w:pPr>
      <w:r>
        <w:rPr>
          <w:rFonts w:ascii="Aptos" w:hAnsi="Aptos"/>
        </w:rPr>
        <w:t>8. R&amp;D program a pracovné balíky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02A5E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ptos" w:hAnsi="Aptos"/>
              </w:rPr>
              <w:t>WP</w:t>
            </w:r>
          </w:p>
        </w:tc>
        <w:tc>
          <w:tcPr>
            <w:tcW w:type="dxa" w:w="3389"/>
            <w:shd w:fill="102A5E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ptos" w:hAnsi="Aptos"/>
              </w:rPr>
              <w:t>Pracovný balík</w:t>
            </w:r>
          </w:p>
        </w:tc>
        <w:tc>
          <w:tcPr>
            <w:tcW w:type="dxa" w:w="3389"/>
            <w:shd w:fill="102A5E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ptos" w:hAnsi="Aptos"/>
              </w:rPr>
              <w:t>Hlavný rozsah</w:t>
            </w:r>
          </w:p>
        </w:tc>
      </w:tr>
      <w:tr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shd w:fill="EAF4FD"/>
          </w:tcPr>
          <w:p>
            <w:r>
              <w:rPr>
                <w:rFonts w:ascii="Aptos" w:hAnsi="Aptos"/>
                <w:b/>
                <w:color w:val="102A5E"/>
                <w:sz w:val="18"/>
              </w:rPr>
              <w:t>WP1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ptos" w:hAnsi="Aptos"/>
              </w:rPr>
              <w:t>Platforma priemyselných AI agentov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ptos" w:hAnsi="Aptos"/>
              </w:rPr>
              <w:t>Jadrová architektúra, orchestrácia, runtime rozhrania a spoľahlivosť.</w:t>
            </w:r>
          </w:p>
        </w:tc>
      </w:tr>
      <w:tr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shd w:fill="EAF4FD"/>
          </w:tcPr>
          <w:p>
            <w:r>
              <w:rPr>
                <w:rFonts w:ascii="Aptos" w:hAnsi="Aptos"/>
                <w:b/>
                <w:color w:val="102A5E"/>
                <w:sz w:val="18"/>
              </w:rPr>
              <w:t>WP2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ptos" w:hAnsi="Aptos"/>
              </w:rPr>
              <w:t>Podnikové znalosti a integrácia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ptos" w:hAnsi="Aptos"/>
              </w:rPr>
              <w:t>RAG, dátové konektory, MCP/API integrácia a prístup k priemyselným dátam.</w:t>
            </w:r>
          </w:p>
        </w:tc>
      </w:tr>
      <w:tr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shd w:fill="EAF4FD"/>
          </w:tcPr>
          <w:p>
            <w:r>
              <w:rPr>
                <w:rFonts w:ascii="Aptos" w:hAnsi="Aptos"/>
                <w:b/>
                <w:color w:val="102A5E"/>
                <w:sz w:val="18"/>
              </w:rPr>
              <w:t>WP3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ptos" w:hAnsi="Aptos"/>
              </w:rPr>
              <w:t>Riadená autonómia a bezpečnosť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ptos" w:hAnsi="Aptos"/>
              </w:rPr>
              <w:t>Identita, presadzovanie politík, ľudské schvaľovanie, audit, sledovateľnosť a bezpečnostné kontroly.</w:t>
            </w:r>
          </w:p>
        </w:tc>
      </w:tr>
      <w:tr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shd w:fill="EAF4FD"/>
          </w:tcPr>
          <w:p>
            <w:r>
              <w:rPr>
                <w:rFonts w:ascii="Aptos" w:hAnsi="Aptos"/>
                <w:b/>
                <w:color w:val="102A5E"/>
                <w:sz w:val="18"/>
              </w:rPr>
              <w:t>WP4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ptos" w:hAnsi="Aptos"/>
              </w:rPr>
              <w:t>Priemyselné piloty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ptos" w:hAnsi="Aptos"/>
              </w:rPr>
              <w:t>Nasadenie a validácia v reálnych výrobných prostrediach.</w:t>
            </w:r>
          </w:p>
        </w:tc>
      </w:tr>
      <w:tr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shd w:fill="EAF4FD"/>
          </w:tcPr>
          <w:p>
            <w:r>
              <w:rPr>
                <w:rFonts w:ascii="Aptos" w:hAnsi="Aptos"/>
                <w:b/>
                <w:color w:val="102A5E"/>
                <w:sz w:val="18"/>
              </w:rPr>
              <w:t>WP5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ptos" w:hAnsi="Aptos"/>
              </w:rPr>
              <w:t>Validácia a komercializácia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ptos" w:hAnsi="Aptos"/>
              </w:rPr>
              <w:t>Technické vyhodnotenie, akceptácia používateľmi, ekonomika, replikácia a príprava go-to-market.</w:t>
            </w:r>
          </w:p>
        </w:tc>
      </w:tr>
    </w:tbl>
    <w:p>
      <w:r>
        <w:rPr>
          <w:rFonts w:ascii="Aptos" w:hAnsi="Aptos"/>
        </w:rPr>
        <w:br w:type="page"/>
      </w:r>
    </w:p>
    <w:p>
      <w:pPr>
        <w:pStyle w:val="Heading1"/>
        <w:keepNext/>
        <w:spacing w:before="200" w:after="100"/>
      </w:pPr>
      <w:r>
        <w:rPr>
          <w:rFonts w:ascii="Aptos" w:hAnsi="Aptos"/>
        </w:rPr>
        <w:t>9. Profil konzorcia</w:t>
      </w:r>
    </w:p>
    <w:p>
      <w:pPr>
        <w:spacing w:after="120" w:line="269" w:lineRule="auto"/>
      </w:pPr>
      <w:r>
        <w:t>Vectoryn AI hľadá zamerané európske konzorcium, ktoré spojí technologický vývoj s reálnou priemyselnou validáciou. Preferovaná štruktúra je zámerne pragmatická a orientovaná na pilot.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Priemyselní pilotní partneri: výrobné a strojárske firmy v strojárstve, železničnom priemysle, automotive, priemyselných zariadeniach alebo procesne náročných odvetviach.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Výskumní partneri: expertíza v AI, autonómnych agentoch, human-AI interaction, priemyselnej AI, kybernetickej bezpečnosti a AI governance.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Technologickí partneri: ERP/MES/CMMS integrácia, priemyselné dátové platformy, IoT, kybernetická bezpečnosť, robotika/automatizácia a AI infraštruktúra.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Ekosystémoví partneri: AI Factories, EDIH, národné kontaktné body a európske AI/výrobné inovačné siete.</w:t>
      </w:r>
    </w:p>
    <w:p>
      <w:pPr>
        <w:pStyle w:val="Heading2"/>
        <w:keepNext/>
        <w:spacing w:before="120" w:after="100"/>
      </w:pPr>
      <w:r>
        <w:rPr>
          <w:rFonts w:ascii="Aptos" w:hAnsi="Aptos"/>
        </w:rPr>
        <w:t>Rola Vectoryn AI</w:t>
      </w:r>
    </w:p>
    <w:p>
      <w:pPr>
        <w:spacing w:after="120" w:line="269" w:lineRule="auto"/>
      </w:pPr>
      <w:r>
        <w:t>Vectoryn AI je pozicionovaný ako technologický poskytovateľ a vlastník platformy pre vrstvu priemyselných AI agentov. V konzorciu môže Vectoryn viesť technické pracovné balíky pokrývajúce orchestráciu agentov, enterprise integráciu, riadenú autonómiu a architektúru priemyselnej AI. Pri zameraných pilotných projektoch môže Vectoryn prevziať aj silnejšiu úlohu technického koordinátora.</w:t>
      </w:r>
    </w:p>
    <w:p>
      <w:pPr>
        <w:pStyle w:val="Heading1"/>
        <w:keepNext/>
        <w:spacing w:before="200" w:after="100"/>
      </w:pPr>
      <w:r>
        <w:rPr>
          <w:rFonts w:ascii="Aptos" w:hAnsi="Aptos"/>
        </w:rPr>
        <w:t>10. Komercializácia a cieľ financovania</w:t>
      </w:r>
    </w:p>
    <w:p>
      <w:pPr>
        <w:spacing w:after="120" w:line="269" w:lineRule="auto"/>
      </w:pPr>
      <w:r>
        <w:t>Financovanie EÚ by urýchlilo prechod od MVP a pilotnej validácie k škálovateľnej európskej priemyselnej platforme. Investície by smerovali najmä do R&amp;D platformy, priemyselných integrácií, spoľahlivosti AI agentov, governance, kybernetickej bezpečnosti, infraštruktúry, pilotných nasadení, validácie a prípravy komercializácie.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Primárny komerčný model: enterprise subscription/licencia doplnená o služby nasadenia a integrácie.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Prémiové možnosti nasadenia: private cloud, hybrid a vybrané on-premises inštalácie.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Cieľoví zákazníci: európske výrobné a strojárske firmy s komplexnými podnikovými dátami a prevádzkovými workflow.</w:t>
      </w:r>
    </w:p>
    <w:p>
      <w:pPr>
        <w:pStyle w:val="ListBullet"/>
        <w:spacing w:after="40" w:line="259" w:lineRule="auto"/>
      </w:pPr>
      <w:r>
        <w:rPr>
          <w:rFonts w:ascii="Aptos" w:hAnsi="Aptos"/>
        </w:rPr>
        <w:t>Indikatívne funding cesty: Horizon Europe, EIC, Digital Europe a EuroHPC / AI Factories.</w:t>
      </w:r>
    </w:p>
    <w:p>
      <w:r>
        <w:rPr>
          <w:rFonts w:ascii="Aptos" w:hAnsi="Aptos"/>
        </w:rPr>
        <w:br w:type="page"/>
      </w:r>
    </w:p>
    <w:p>
      <w:pPr>
        <w:pStyle w:val="Heading1"/>
        <w:keepNext/>
        <w:spacing w:before="200" w:after="100"/>
      </w:pPr>
      <w:r>
        <w:rPr>
          <w:rFonts w:ascii="Aptos" w:hAnsi="Aptos"/>
        </w:rPr>
        <w:t>11. Funding readiness a krátkodobá roadmapa</w:t>
      </w:r>
    </w:p>
    <w:p>
      <w:pPr>
        <w:spacing w:after="120" w:line="269" w:lineRule="auto"/>
      </w:pPr>
      <w:r>
        <w:t>Vectoryn AI má silný technologický a strategický fit pre európske programy priemyselnej AI, no najhodnotnejším ďalším krokom je premeniť technický progres na formálne priemyselné dôkazy. Nasledujúca roadmapa má posilniť pripravenosť na väčšie nástroje financovania EÚ.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02A5E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ptos" w:hAnsi="Aptos"/>
              </w:rPr>
              <w:t>Časovanie</w:t>
            </w:r>
          </w:p>
        </w:tc>
        <w:tc>
          <w:tcPr>
            <w:tcW w:type="dxa" w:w="3389"/>
            <w:shd w:fill="102A5E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ptos" w:hAnsi="Aptos"/>
              </w:rPr>
              <w:t>Priorita</w:t>
            </w:r>
          </w:p>
        </w:tc>
        <w:tc>
          <w:tcPr>
            <w:tcW w:type="dxa" w:w="3389"/>
            <w:shd w:fill="102A5E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ptos" w:hAnsi="Aptos"/>
              </w:rPr>
              <w:t>Výstup</w:t>
            </w:r>
          </w:p>
        </w:tc>
      </w:tr>
      <w:tr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shd w:fill="EAF4FD"/>
          </w:tcPr>
          <w:p>
            <w:r>
              <w:rPr>
                <w:rFonts w:ascii="Aptos" w:hAnsi="Aptos"/>
              </w:rPr>
              <w:t>Teraz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ptos" w:hAnsi="Aptos"/>
              </w:rPr>
              <w:t>Stabilizovať MVP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ptos" w:hAnsi="Aptos"/>
              </w:rPr>
              <w:t>Opakovateľné nasadenie, zameraný maintenance/knowledge use case, testovací dataset a governance kontroly.</w:t>
            </w:r>
          </w:p>
        </w:tc>
      </w:tr>
      <w:tr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shd w:fill="EAF4FD"/>
          </w:tcPr>
          <w:p>
            <w:r>
              <w:rPr>
                <w:rFonts w:ascii="Aptos" w:hAnsi="Aptos"/>
              </w:rPr>
              <w:t>0-3 mesiace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ptos" w:hAnsi="Aptos"/>
              </w:rPr>
              <w:t>Príprava pilotu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ptos" w:hAnsi="Aptos"/>
              </w:rPr>
              <w:t>Získať priemyselný pilot/LOI, definovať baseline KPI, dokončiť bezpečnostné a IP posúdenie.</w:t>
            </w:r>
          </w:p>
        </w:tc>
      </w:tr>
      <w:tr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shd w:fill="EAF4FD"/>
          </w:tcPr>
          <w:p>
            <w:r>
              <w:rPr>
                <w:rFonts w:ascii="Aptos" w:hAnsi="Aptos"/>
              </w:rPr>
              <w:t>3-6 mesiacov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ptos" w:hAnsi="Aptos"/>
              </w:rPr>
              <w:t>Priemyselná validácia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ptos" w:hAnsi="Aptos"/>
              </w:rPr>
              <w:t>Realizovať pilot, zmerať dopad pred/po a zdokumentovať technické a governance dôkazy.</w:t>
            </w:r>
          </w:p>
        </w:tc>
      </w:tr>
      <w:tr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shd w:fill="EAF4FD"/>
          </w:tcPr>
          <w:p>
            <w:r>
              <w:rPr>
                <w:rFonts w:ascii="Aptos" w:hAnsi="Aptos"/>
              </w:rPr>
              <w:t>6-12 mesiacov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ptos" w:hAnsi="Aptos"/>
              </w:rPr>
              <w:t>Škálovanie EU proposal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ptos" w:hAnsi="Aptos"/>
              </w:rPr>
              <w:t>Využiť dôkazy z pilotu pre Horizon konzorcium, pripravenosť na EIC Pre-Accelerator/Accelerator a komerčnú expanziu.</w:t>
            </w:r>
          </w:p>
        </w:tc>
      </w:tr>
    </w:tbl>
    <w:p>
      <w:pPr>
        <w:pStyle w:val="Heading1"/>
        <w:keepNext/>
        <w:spacing w:before="200" w:after="100"/>
      </w:pPr>
      <w:r>
        <w:rPr>
          <w:rFonts w:ascii="Aptos" w:hAnsi="Aptos"/>
        </w:rPr>
        <w:t>12. Návrh spolupráce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EF7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40"/>
            </w:pPr>
            <w:r>
              <w:t>Požiadavka na partnerov</w:t>
            </w:r>
          </w:p>
          <w:p>
            <w:pPr>
              <w:spacing w:after="0" w:line="259" w:lineRule="auto"/>
            </w:pPr>
            <w:r>
              <w:t>Vectoryn AI hľadá priemyselné pilotné firmy, výskumné inštitúcie, partnerov pre AI infraštruktúru a organizácie pripravujúce európske konzorciá v AI a pokročilej výrobe. Bezprostredným cieľom je identifikovať hodnotný pilotný use case a najvhodnejšiu funding cestu EÚ.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120" w:after="100"/>
      </w:pPr>
      <w:r>
        <w:rPr>
          <w:rFonts w:ascii="Aptos" w:hAnsi="Aptos"/>
        </w:rPr>
        <w:t>Navrhovaný ďalší krok</w:t>
      </w:r>
    </w:p>
    <w:p>
      <w:pPr>
        <w:pStyle w:val="ListNumber"/>
        <w:spacing w:after="40"/>
      </w:pPr>
      <w:r>
        <w:rPr>
          <w:rFonts w:ascii="Aptos" w:hAnsi="Aptos"/>
        </w:rPr>
        <w:t>30-45 minútová technická diskusia a posúdenie funding fitu.</w:t>
      </w:r>
    </w:p>
    <w:p>
      <w:pPr>
        <w:pStyle w:val="ListNumber"/>
        <w:spacing w:after="40"/>
      </w:pPr>
      <w:r>
        <w:t>Identifikovať priemyselný use case, roly partnerov a cieľový program.</w:t>
      </w:r>
    </w:p>
    <w:p>
      <w:pPr>
        <w:pStyle w:val="ListNumber"/>
        <w:spacing w:after="40"/>
      </w:pPr>
      <w:r>
        <w:t>Dohodnúť rozsah pilotu, cieľové TRL, očakávaný dopad a predbežnú štruktúru pracovných balíkov.</w:t>
      </w:r>
    </w:p>
    <w:p>
      <w:pPr>
        <w:pStyle w:val="ListNumber"/>
        <w:spacing w:after="40"/>
      </w:pPr>
      <w:r>
        <w:t>Pripraviť cielený jednostranový partner teaser a koncept proposal-u prispôsobený konkrétnej výzve.</w:t>
      </w:r>
    </w:p>
    <w:p>
      <w:pPr>
        <w:pStyle w:val="Heading2"/>
        <w:keepNext/>
        <w:spacing w:before="120" w:after="100"/>
      </w:pPr>
      <w:r>
        <w:t>Kontakt</w:t>
      </w:r>
    </w:p>
    <w:p>
      <w:pPr>
        <w:spacing w:after="120" w:line="269" w:lineRule="auto"/>
      </w:pPr>
      <w:r>
        <w:t>Vectoryn AI  |  Európski priemyselní AI agenti  |  www.vectorynai.com</w:t>
      </w:r>
    </w:p>
    <w:p>
      <w:pPr>
        <w:spacing w:before="280"/>
        <w:jc w:val="center"/>
      </w:pPr>
      <w:r>
        <w:rPr>
          <w:rFonts w:ascii="Aptos" w:hAnsi="Aptos"/>
        </w:rPr>
        <w:t>Riadení autonómni AI agenti pre európsky priemysel</w:t>
      </w:r>
    </w:p>
    <w:p>
      <w:pPr>
        <w:jc w:val="center"/>
      </w:pPr>
      <w:r>
        <w:t>Priemyselná AI · AI agenti · Enterprise integrácia · AI Governance · Európska suverenita</w:t>
      </w:r>
    </w:p>
    <w:sectPr w:rsidR="00FC693F" w:rsidRPr="0006063C" w:rsidSect="00034616">
      <w:footerReference w:type="default" r:id="rId9"/>
      <w:pgSz w:w="12240" w:h="15840"/>
      <w:pgMar w:top="936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7A8494"/>
        <w:sz w:val="16"/>
      </w:rPr>
      <w:t>VECTORYN AI  |  EU PROJECT CONCEPT NOTE  | 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eg"/><Relationship Id="rId1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Vectoryn AI - EU Project Concept Note (SK)</dc:title>
  <dc:subject>EU funding and consortium development concept note</dc:subject>
  <dc:creator>Vectoryn AI</dc:creator>
  <cp:keywords>Vectoryn AI, industrial AI, AI agents, EU funding, Horizon Europe, EIC, AI governance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